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-2540</wp:posOffset>
            </wp:positionV>
            <wp:extent cx="2221200" cy="70920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1200" cy="70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34DB5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Pr="00834DB5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  <w:r w:rsidRPr="00834DB5">
        <w:rPr>
          <w:rFonts w:ascii="Times New Roman" w:hAnsi="Times New Roman" w:cs="Times New Roman"/>
          <w:b/>
          <w:sz w:val="14"/>
          <w:szCs w:val="14"/>
        </w:rPr>
        <w:tab/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A75C63" w:rsidRPr="00834DB5" w:rsidRDefault="00A75C63" w:rsidP="00A75C63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A75C63" w:rsidRPr="00834DB5" w:rsidRDefault="00A75C63" w:rsidP="00A75C63">
      <w:pPr>
        <w:rPr>
          <w:rFonts w:ascii="Times New Roman" w:hAnsi="Times New Roman" w:cs="Times New Roman"/>
          <w:sz w:val="28"/>
          <w:szCs w:val="28"/>
        </w:rPr>
      </w:pPr>
    </w:p>
    <w:p w:rsidR="00A75C63" w:rsidRDefault="00A75C63" w:rsidP="00A75C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4DB5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</w:p>
    <w:p w:rsidR="00CB0C51" w:rsidRDefault="00CB0C51" w:rsidP="00CB0C51">
      <w:pPr>
        <w:pStyle w:val="a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39D6" w:rsidRDefault="006E6C8D" w:rsidP="006E6C8D">
      <w:pPr>
        <w:pStyle w:val="a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финансового планирования для класса на два года</w:t>
      </w:r>
    </w:p>
    <w:tbl>
      <w:tblPr>
        <w:tblStyle w:val="a8"/>
        <w:tblW w:w="0" w:type="auto"/>
        <w:tblInd w:w="-885" w:type="dxa"/>
        <w:tblLayout w:type="fixed"/>
        <w:tblLook w:val="04A0"/>
      </w:tblPr>
      <w:tblGrid>
        <w:gridCol w:w="426"/>
        <w:gridCol w:w="709"/>
        <w:gridCol w:w="1134"/>
        <w:gridCol w:w="1701"/>
        <w:gridCol w:w="2268"/>
        <w:gridCol w:w="1114"/>
        <w:gridCol w:w="1610"/>
        <w:gridCol w:w="1494"/>
      </w:tblGrid>
      <w:tr w:rsidR="006E6C8D" w:rsidTr="006E6C8D">
        <w:tc>
          <w:tcPr>
            <w:tcW w:w="426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709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Год</w:t>
            </w:r>
          </w:p>
        </w:tc>
        <w:tc>
          <w:tcPr>
            <w:tcW w:w="113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Годовой доход, р.</w:t>
            </w:r>
          </w:p>
        </w:tc>
        <w:tc>
          <w:tcPr>
            <w:tcW w:w="1701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Планируемые необходимые расходы</w:t>
            </w:r>
          </w:p>
        </w:tc>
        <w:tc>
          <w:tcPr>
            <w:tcW w:w="2268" w:type="dxa"/>
          </w:tcPr>
          <w:p w:rsidR="008339D6" w:rsidRDefault="00B703E3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Сатья расхода</w:t>
            </w:r>
          </w:p>
        </w:tc>
        <w:tc>
          <w:tcPr>
            <w:tcW w:w="1114" w:type="dxa"/>
          </w:tcPr>
          <w:p w:rsidR="008339D6" w:rsidRDefault="00B703E3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Сумма, р.</w:t>
            </w:r>
          </w:p>
        </w:tc>
        <w:tc>
          <w:tcPr>
            <w:tcW w:w="1610" w:type="dxa"/>
          </w:tcPr>
          <w:p w:rsidR="008339D6" w:rsidRDefault="00B703E3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Накопленные сбережения, р.</w:t>
            </w:r>
          </w:p>
        </w:tc>
        <w:tc>
          <w:tcPr>
            <w:tcW w:w="1494" w:type="dxa"/>
          </w:tcPr>
          <w:p w:rsidR="008339D6" w:rsidRDefault="00B703E3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Примечания</w:t>
            </w:r>
          </w:p>
        </w:tc>
      </w:tr>
      <w:tr w:rsidR="006E6C8D" w:rsidTr="006E6C8D">
        <w:trPr>
          <w:trHeight w:val="4607"/>
        </w:trPr>
        <w:tc>
          <w:tcPr>
            <w:tcW w:w="426" w:type="dxa"/>
          </w:tcPr>
          <w:p w:rsidR="008339D6" w:rsidRDefault="00B703E3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1.</w:t>
            </w:r>
          </w:p>
        </w:tc>
        <w:tc>
          <w:tcPr>
            <w:tcW w:w="709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701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2268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11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610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49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</w:tr>
      <w:tr w:rsidR="006E6C8D" w:rsidTr="006E6C8D">
        <w:trPr>
          <w:trHeight w:val="5285"/>
        </w:trPr>
        <w:tc>
          <w:tcPr>
            <w:tcW w:w="426" w:type="dxa"/>
          </w:tcPr>
          <w:p w:rsidR="008339D6" w:rsidRDefault="00B703E3">
            <w:pPr>
              <w:rPr>
                <w:rFonts w:ascii="FreeSetC" w:hAnsi="FreeSetC" w:cs="FreeSetC"/>
                <w:noProof/>
                <w:lang w:eastAsia="ru-RU"/>
              </w:rPr>
            </w:pPr>
            <w:r>
              <w:rPr>
                <w:rFonts w:ascii="FreeSetC" w:hAnsi="FreeSetC" w:cs="FreeSetC"/>
                <w:noProof/>
                <w:lang w:eastAsia="ru-RU"/>
              </w:rPr>
              <w:t>2.</w:t>
            </w:r>
          </w:p>
        </w:tc>
        <w:tc>
          <w:tcPr>
            <w:tcW w:w="709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13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701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2268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11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610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  <w:tc>
          <w:tcPr>
            <w:tcW w:w="1494" w:type="dxa"/>
          </w:tcPr>
          <w:p w:rsidR="008339D6" w:rsidRDefault="008339D6">
            <w:pPr>
              <w:rPr>
                <w:rFonts w:ascii="FreeSetC" w:hAnsi="FreeSetC" w:cs="FreeSetC"/>
                <w:noProof/>
                <w:lang w:eastAsia="ru-RU"/>
              </w:rPr>
            </w:pPr>
          </w:p>
        </w:tc>
      </w:tr>
    </w:tbl>
    <w:p w:rsidR="008339D6" w:rsidRDefault="008339D6">
      <w:pPr>
        <w:rPr>
          <w:rFonts w:ascii="FreeSetC" w:hAnsi="FreeSetC" w:cs="FreeSetC"/>
          <w:noProof/>
          <w:lang w:eastAsia="ru-RU"/>
        </w:rPr>
      </w:pPr>
    </w:p>
    <w:p w:rsidR="00000AB2" w:rsidRPr="00767914" w:rsidRDefault="008339D6" w:rsidP="006E6C8D">
      <w:pPr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FreeSetC" w:hAnsi="FreeSetC" w:cs="FreeSetC"/>
          <w:noProof/>
          <w:lang w:eastAsia="ru-RU"/>
        </w:rPr>
        <w:br w:type="page"/>
      </w:r>
      <w:bookmarkStart w:id="0" w:name="_GoBack"/>
      <w:bookmarkEnd w:id="0"/>
      <w:r w:rsidR="00752E16">
        <w:rPr>
          <w:rFonts w:ascii="Times New Roman" w:hAnsi="Times New Roman" w:cs="Times New Roman"/>
          <w:b/>
          <w:noProof/>
          <w:color w:val="909090"/>
          <w:sz w:val="14"/>
          <w:szCs w:val="14"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173355</wp:posOffset>
            </wp:positionV>
            <wp:extent cx="2220595" cy="704850"/>
            <wp:effectExtent l="19050" t="0" r="8255" b="0"/>
            <wp:wrapTight wrapText="right">
              <wp:wrapPolygon edited="0">
                <wp:start x="-185" y="0"/>
                <wp:lineTo x="-185" y="21016"/>
                <wp:lineTo x="21680" y="21016"/>
                <wp:lineTo x="21680" y="0"/>
                <wp:lineTo x="-185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AB2" w:rsidRPr="00767914">
        <w:rPr>
          <w:rFonts w:ascii="Times New Roman" w:hAnsi="Times New Roman" w:cs="Times New Roman"/>
          <w:b/>
          <w:color w:val="909090"/>
          <w:sz w:val="14"/>
          <w:szCs w:val="14"/>
        </w:rPr>
        <w:ptab w:relativeTo="margin" w:alignment="center" w:leader="none"/>
      </w:r>
      <w:r w:rsidR="00000AB2" w:rsidRPr="00767914">
        <w:rPr>
          <w:rFonts w:ascii="Times New Roman" w:hAnsi="Times New Roman" w:cs="Times New Roman"/>
          <w:b/>
          <w:sz w:val="14"/>
          <w:szCs w:val="14"/>
        </w:rPr>
        <w:ptab w:relativeTo="margin" w:alignment="right" w:leader="none"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  <w:r w:rsidRPr="00767914">
        <w:rPr>
          <w:rFonts w:ascii="Times New Roman" w:hAnsi="Times New Roman" w:cs="Times New Roman"/>
          <w:b/>
          <w:sz w:val="14"/>
          <w:szCs w:val="14"/>
        </w:rPr>
        <w:tab/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767914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000AB2" w:rsidRPr="00767914" w:rsidRDefault="00000AB2" w:rsidP="00000AB2">
      <w:pPr>
        <w:pStyle w:val="a3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</w:p>
    <w:p w:rsidR="00000AB2" w:rsidRPr="00767914" w:rsidRDefault="00000AB2" w:rsidP="00000AB2">
      <w:pPr>
        <w:rPr>
          <w:rFonts w:ascii="Times New Roman" w:hAnsi="Times New Roman" w:cs="Times New Roman"/>
        </w:rPr>
      </w:pPr>
    </w:p>
    <w:p w:rsidR="00000AB2" w:rsidRPr="004635BB" w:rsidRDefault="00000AB2" w:rsidP="00000AB2">
      <w:pPr>
        <w:tabs>
          <w:tab w:val="left" w:pos="304"/>
          <w:tab w:val="center" w:pos="5102"/>
        </w:tabs>
        <w:ind w:left="567"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Уважаемые родители!</w:t>
      </w:r>
    </w:p>
    <w:p w:rsidR="00000AB2" w:rsidRPr="004635BB" w:rsidRDefault="002F0664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9 по 22 апреля 2018</w:t>
      </w:r>
      <w:r w:rsidR="00786E37">
        <w:rPr>
          <w:rFonts w:ascii="Times New Roman" w:hAnsi="Times New Roman" w:cs="Times New Roman"/>
          <w:sz w:val="24"/>
          <w:szCs w:val="24"/>
        </w:rPr>
        <w:t xml:space="preserve"> года в России пройдет </w:t>
      </w:r>
      <w:r w:rsidR="00000AB2" w:rsidRPr="004635BB">
        <w:rPr>
          <w:rFonts w:ascii="Times New Roman" w:hAnsi="Times New Roman" w:cs="Times New Roman"/>
          <w:sz w:val="24"/>
          <w:szCs w:val="24"/>
        </w:rPr>
        <w:t xml:space="preserve"> Всероссийская неделя финансовой грамотности для детей и молодежи, организованная в рамках совместного Проекта Минфина России и Всемирного Банка «Содействие повышению уровня финансовой грамотности населения и развитию финансового образования в Российской Федерации». Неделя также является частью международного движения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Money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AB2" w:rsidRPr="004635BB">
        <w:rPr>
          <w:rFonts w:ascii="Times New Roman" w:hAnsi="Times New Roman" w:cs="Times New Roman"/>
          <w:sz w:val="24"/>
          <w:szCs w:val="24"/>
        </w:rPr>
        <w:t>Week</w:t>
      </w:r>
      <w:proofErr w:type="spellEnd"/>
      <w:r w:rsidR="00000AB2" w:rsidRPr="004635BB">
        <w:rPr>
          <w:rFonts w:ascii="Times New Roman" w:hAnsi="Times New Roman" w:cs="Times New Roman"/>
          <w:sz w:val="24"/>
          <w:szCs w:val="24"/>
        </w:rPr>
        <w:t xml:space="preserve">, ежегодно объединяющего более 3 миллионов детей из 118 стран. 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Основными темами Неде</w:t>
      </w:r>
      <w:r w:rsidR="002F0664">
        <w:rPr>
          <w:rFonts w:ascii="Times New Roman" w:hAnsi="Times New Roman" w:cs="Times New Roman"/>
          <w:sz w:val="24"/>
          <w:szCs w:val="24"/>
        </w:rPr>
        <w:t>ли финансовой грамотности в 2018</w:t>
      </w:r>
      <w:r w:rsidRPr="004635BB">
        <w:rPr>
          <w:rFonts w:ascii="Times New Roman" w:hAnsi="Times New Roman" w:cs="Times New Roman"/>
          <w:sz w:val="24"/>
          <w:szCs w:val="24"/>
        </w:rPr>
        <w:t xml:space="preserve"> году является бережное потребление и защита прав потребителей, в том числе и вопросы личной финансовой безопасности и ответственности. В рамках мероприятий юные россияне (основная аудитория мероприятий - дети в молодежь в возрасте от 10 до 25 лет), а также их учителя и родители,  смогут принять участие в открытых лекциях и практикумах, увлекательных экскурсиях, творческих конкурсах, играх, викторинах и многих других мероприятиях. Все мероприятия являются бесплатными, прошедшими тщательный отбор и методологическую проработку на предмет содержания.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 xml:space="preserve">Подробная информация о мероприятиях представлена на сайте: </w:t>
      </w:r>
      <w:proofErr w:type="spellStart"/>
      <w:r w:rsidRPr="004635BB">
        <w:rPr>
          <w:rFonts w:ascii="Times New Roman" w:hAnsi="Times New Roman" w:cs="Times New Roman"/>
          <w:b/>
          <w:sz w:val="24"/>
          <w:szCs w:val="24"/>
        </w:rPr>
        <w:t>Вашифинансы.рф</w:t>
      </w:r>
      <w:proofErr w:type="spellEnd"/>
      <w:r w:rsidRPr="004635BB">
        <w:rPr>
          <w:rFonts w:ascii="Times New Roman" w:hAnsi="Times New Roman" w:cs="Times New Roman"/>
          <w:sz w:val="24"/>
          <w:szCs w:val="24"/>
        </w:rPr>
        <w:t>.</w:t>
      </w:r>
    </w:p>
    <w:p w:rsidR="00000AB2" w:rsidRPr="004635BB" w:rsidRDefault="00000AB2" w:rsidP="00000AB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Просим Вас поддержать мероприятие и оказать помощь вашим детям в выполнении домашнего задания.</w:t>
      </w:r>
    </w:p>
    <w:p w:rsidR="00000AB2" w:rsidRPr="004635BB" w:rsidRDefault="00000AB2" w:rsidP="00000AB2">
      <w:pPr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 w:rsidRPr="004635BB">
        <w:rPr>
          <w:rFonts w:ascii="Times New Roman" w:hAnsi="Times New Roman" w:cs="Times New Roman"/>
          <w:sz w:val="24"/>
          <w:szCs w:val="24"/>
        </w:rPr>
        <w:t>С уважением, организаторы!</w:t>
      </w:r>
    </w:p>
    <w:p w:rsidR="00000AB2" w:rsidRPr="004635BB" w:rsidRDefault="00000AB2" w:rsidP="00217A4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00AB2" w:rsidRPr="004635BB" w:rsidRDefault="00000AB2" w:rsidP="00217A4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35BB">
        <w:rPr>
          <w:rFonts w:ascii="Times New Roman" w:hAnsi="Times New Roman" w:cs="Times New Roman"/>
          <w:b/>
          <w:sz w:val="24"/>
          <w:szCs w:val="24"/>
        </w:rPr>
        <w:t>Домашнее задание:</w:t>
      </w:r>
    </w:p>
    <w:p w:rsidR="00000AB2" w:rsidRPr="00217A4F" w:rsidRDefault="00000AB2" w:rsidP="00217A4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A4F">
        <w:rPr>
          <w:rFonts w:ascii="Times New Roman" w:hAnsi="Times New Roman" w:cs="Times New Roman"/>
          <w:sz w:val="24"/>
          <w:szCs w:val="24"/>
        </w:rPr>
        <w:t xml:space="preserve"> Обсудите вопросы в кругу семьи.</w:t>
      </w:r>
    </w:p>
    <w:p w:rsidR="00000AB2" w:rsidRPr="00217A4F" w:rsidRDefault="00000AB2" w:rsidP="00217A4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7A4F">
        <w:rPr>
          <w:rFonts w:ascii="Times New Roman" w:hAnsi="Times New Roman" w:cs="Times New Roman"/>
          <w:b/>
          <w:bCs/>
          <w:sz w:val="24"/>
          <w:szCs w:val="24"/>
        </w:rPr>
        <w:t>Вопросы для обсуждения:</w:t>
      </w:r>
    </w:p>
    <w:p w:rsidR="00217A4F" w:rsidRPr="00217A4F" w:rsidRDefault="00217A4F" w:rsidP="007D1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A4F">
        <w:rPr>
          <w:rFonts w:ascii="Times New Roman" w:hAnsi="Times New Roman" w:cs="Times New Roman"/>
          <w:sz w:val="24"/>
          <w:szCs w:val="24"/>
        </w:rPr>
        <w:t>1. Как часто необходимо корректировать долгосрочный финансовый план?</w:t>
      </w:r>
    </w:p>
    <w:p w:rsidR="00000AB2" w:rsidRDefault="00217A4F" w:rsidP="007D1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17A4F">
        <w:rPr>
          <w:rFonts w:ascii="Times New Roman" w:hAnsi="Times New Roman" w:cs="Times New Roman"/>
          <w:sz w:val="24"/>
          <w:szCs w:val="24"/>
        </w:rPr>
        <w:t>2. Как влияет на наш финансовый план современная экономическая ситуация?</w:t>
      </w:r>
    </w:p>
    <w:p w:rsidR="007D1FC4" w:rsidRPr="00217A4F" w:rsidRDefault="007D1FC4" w:rsidP="007D1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8F5C45">
        <w:rPr>
          <w:rFonts w:ascii="Times New Roman" w:hAnsi="Times New Roman" w:cs="Times New Roman"/>
          <w:sz w:val="24"/>
          <w:szCs w:val="24"/>
        </w:rPr>
        <w:t>. Как меняются семейные расходы в связи с рождением и взрослением детей?</w:t>
      </w:r>
    </w:p>
    <w:p w:rsidR="00217A4F" w:rsidRPr="00217A4F" w:rsidRDefault="007D1FC4" w:rsidP="007D1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17A4F" w:rsidRPr="00217A4F">
        <w:rPr>
          <w:rFonts w:ascii="Times New Roman" w:hAnsi="Times New Roman" w:cs="Times New Roman"/>
          <w:sz w:val="24"/>
          <w:szCs w:val="24"/>
        </w:rPr>
        <w:t>. Существует ли долгосрочный финансовый план в семье?</w:t>
      </w:r>
    </w:p>
    <w:p w:rsidR="00217A4F" w:rsidRDefault="007D1FC4" w:rsidP="007D1FC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17A4F" w:rsidRPr="00217A4F">
        <w:rPr>
          <w:rFonts w:ascii="Times New Roman" w:hAnsi="Times New Roman" w:cs="Times New Roman"/>
          <w:sz w:val="24"/>
          <w:szCs w:val="24"/>
        </w:rPr>
        <w:t>. Какие важные покупки планирует сделать наша семья в ближайшие год, пять лет?</w:t>
      </w:r>
    </w:p>
    <w:p w:rsidR="005673E9" w:rsidRDefault="005673E9" w:rsidP="005673E9">
      <w:pPr>
        <w:jc w:val="center"/>
      </w:pPr>
    </w:p>
    <w:p w:rsidR="00461EA3" w:rsidRDefault="005673E9" w:rsidP="005673E9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674324" cy="1022537"/>
            <wp:effectExtent l="19050" t="0" r="0" b="0"/>
            <wp:docPr id="2" name="Рисунок 1" descr="football-023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otball-023jpg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584" cy="102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1EA3" w:rsidSect="005673E9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">
    <w:altName w:val="Cambria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84BA6"/>
    <w:multiLevelType w:val="hybridMultilevel"/>
    <w:tmpl w:val="A0661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63"/>
    <w:rsid w:val="00000AB2"/>
    <w:rsid w:val="00217A4F"/>
    <w:rsid w:val="002F0664"/>
    <w:rsid w:val="003E4A1B"/>
    <w:rsid w:val="00461EA3"/>
    <w:rsid w:val="005673E9"/>
    <w:rsid w:val="006E6C8D"/>
    <w:rsid w:val="00752E16"/>
    <w:rsid w:val="00786E37"/>
    <w:rsid w:val="007D1FC4"/>
    <w:rsid w:val="007E7E7D"/>
    <w:rsid w:val="00810E24"/>
    <w:rsid w:val="008339D6"/>
    <w:rsid w:val="008F5C45"/>
    <w:rsid w:val="009E14B7"/>
    <w:rsid w:val="00A75C63"/>
    <w:rsid w:val="00B57AF8"/>
    <w:rsid w:val="00B703E3"/>
    <w:rsid w:val="00CB0C51"/>
    <w:rsid w:val="00DA3C8F"/>
    <w:rsid w:val="00E5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83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C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75C63"/>
  </w:style>
  <w:style w:type="paragraph" w:styleId="a5">
    <w:name w:val="Balloon Text"/>
    <w:basedOn w:val="a"/>
    <w:link w:val="a6"/>
    <w:uiPriority w:val="99"/>
    <w:semiHidden/>
    <w:unhideWhenUsed/>
    <w:rsid w:val="00A75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5C63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A75C63"/>
    <w:pPr>
      <w:ind w:left="720"/>
      <w:contextualSpacing/>
    </w:pPr>
  </w:style>
  <w:style w:type="table" w:styleId="a8">
    <w:name w:val="Table Grid"/>
    <w:basedOn w:val="a1"/>
    <w:uiPriority w:val="59"/>
    <w:rsid w:val="00833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Мария</cp:lastModifiedBy>
  <cp:revision>5</cp:revision>
  <dcterms:created xsi:type="dcterms:W3CDTF">2018-02-20T07:19:00Z</dcterms:created>
  <dcterms:modified xsi:type="dcterms:W3CDTF">2018-03-07T09:45:00Z</dcterms:modified>
</cp:coreProperties>
</file>